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80" w:lineRule="exact"/>
        <w:jc w:val="left"/>
        <w:rPr>
          <w:rFonts w:hint="eastAsia" w:ascii="黑体" w:hAnsi="黑体" w:eastAsia="黑体"/>
          <w:sz w:val="32"/>
          <w:szCs w:val="24"/>
        </w:rPr>
      </w:pPr>
      <w:r>
        <w:rPr>
          <w:rFonts w:hint="eastAsia" w:ascii="黑体" w:hAnsi="黑体" w:eastAsia="黑体"/>
          <w:sz w:val="32"/>
          <w:szCs w:val="24"/>
        </w:rPr>
        <w:t>附件3</w:t>
      </w:r>
    </w:p>
    <w:p>
      <w:pPr>
        <w:pStyle w:val="2"/>
        <w:widowControl/>
        <w:spacing w:before="0" w:beforeLines="0" w:beforeAutospacing="0" w:after="0" w:afterLines="0" w:afterAutospacing="0" w:line="547" w:lineRule="atLeast"/>
        <w:ind w:firstLine="792"/>
        <w:jc w:val="both"/>
        <w:rPr>
          <w:rFonts w:hint="default"/>
          <w:color w:val="333333"/>
          <w:sz w:val="32"/>
          <w:szCs w:val="24"/>
        </w:rPr>
      </w:pPr>
    </w:p>
    <w:p>
      <w:pPr>
        <w:pStyle w:val="2"/>
        <w:widowControl/>
        <w:spacing w:before="0" w:beforeLines="0" w:beforeAutospacing="0" w:after="0" w:afterLines="0" w:afterAutospacing="0" w:line="547" w:lineRule="atLeast"/>
        <w:jc w:val="center"/>
        <w:rPr>
          <w:rFonts w:hint="default"/>
          <w:color w:val="333333"/>
          <w:sz w:val="32"/>
          <w:szCs w:val="24"/>
        </w:rPr>
      </w:pPr>
      <w:bookmarkStart w:id="0" w:name="_GoBack"/>
      <w:r>
        <w:rPr>
          <w:rFonts w:hint="eastAsia" w:ascii="方正小标宋简体" w:hAnsi="方正小标宋简体" w:eastAsia="方正小标宋简体"/>
          <w:color w:val="000000"/>
          <w:sz w:val="44"/>
          <w:szCs w:val="24"/>
          <w:shd w:val="clear" w:color="auto" w:fill="FFFFFF"/>
        </w:rPr>
        <w:t>关于202</w:t>
      </w:r>
      <w:r>
        <w:rPr>
          <w:rFonts w:hint="eastAsia" w:ascii="方正小标宋简体" w:hAnsi="方正小标宋简体" w:eastAsia="方正小标宋简体"/>
          <w:color w:val="000000"/>
          <w:sz w:val="44"/>
          <w:szCs w:val="24"/>
          <w:shd w:val="clear" w:color="auto" w:fill="FFFFFF"/>
          <w:lang w:val="en-US" w:eastAsia="zh-CN"/>
        </w:rPr>
        <w:t>3</w:t>
      </w:r>
      <w:r>
        <w:rPr>
          <w:rFonts w:hint="eastAsia" w:ascii="方正小标宋简体" w:hAnsi="方正小标宋简体" w:eastAsia="方正小标宋简体"/>
          <w:color w:val="000000"/>
          <w:sz w:val="44"/>
          <w:szCs w:val="24"/>
          <w:shd w:val="clear" w:color="auto" w:fill="FFFFFF"/>
        </w:rPr>
        <w:t>年度职称评审具体工作的</w:t>
      </w:r>
      <w:r>
        <w:rPr>
          <w:rFonts w:hint="eastAsia" w:ascii="方正小标宋简体" w:hAnsi="方正小标宋简体" w:eastAsia="方正小标宋简体"/>
          <w:color w:val="000000"/>
          <w:sz w:val="44"/>
          <w:szCs w:val="24"/>
          <w:shd w:val="clear" w:color="auto" w:fill="FFFFFF"/>
          <w:lang w:eastAsia="zh-CN"/>
        </w:rPr>
        <w:t>政策</w:t>
      </w:r>
      <w:r>
        <w:rPr>
          <w:rFonts w:hint="eastAsia" w:ascii="方正小标宋简体" w:hAnsi="方正小标宋简体" w:eastAsia="方正小标宋简体"/>
          <w:color w:val="000000"/>
          <w:sz w:val="44"/>
          <w:szCs w:val="24"/>
          <w:shd w:val="clear" w:color="auto" w:fill="FFFFFF"/>
        </w:rPr>
        <w:t>问答</w:t>
      </w:r>
    </w:p>
    <w:bookmarkEnd w:id="0"/>
    <w:p>
      <w:pPr>
        <w:spacing w:beforeLines="0" w:afterLines="0" w:line="580" w:lineRule="exact"/>
        <w:jc w:val="center"/>
        <w:rPr>
          <w:rFonts w:hint="default"/>
          <w:color w:val="333333"/>
          <w:sz w:val="32"/>
          <w:szCs w:val="24"/>
        </w:rPr>
      </w:pPr>
    </w:p>
    <w:p>
      <w:pPr>
        <w:pStyle w:val="2"/>
        <w:widowControl/>
        <w:spacing w:before="0" w:beforeLines="0" w:beforeAutospacing="0" w:after="0" w:afterLines="0" w:afterAutospacing="0" w:line="547" w:lineRule="atLeast"/>
        <w:ind w:firstLine="634"/>
        <w:jc w:val="both"/>
        <w:rPr>
          <w:rFonts w:hint="default" w:ascii="仿宋_GB2312" w:hAnsi="仿宋_GB2312" w:eastAsia="仿宋_GB2312"/>
          <w:color w:val="333333"/>
          <w:sz w:val="32"/>
          <w:szCs w:val="24"/>
        </w:rPr>
      </w:pPr>
      <w:r>
        <w:rPr>
          <w:rStyle w:val="4"/>
          <w:rFonts w:hint="default" w:ascii="仿宋_GB2312" w:hAnsi="仿宋_GB2312" w:eastAsia="仿宋_GB2312"/>
          <w:color w:val="000000"/>
          <w:sz w:val="32"/>
          <w:szCs w:val="24"/>
          <w:shd w:val="clear" w:color="auto" w:fill="FFFFFF"/>
        </w:rPr>
        <w:t>一、</w:t>
      </w:r>
      <w:r>
        <w:rPr>
          <w:rStyle w:val="4"/>
          <w:rFonts w:hint="default" w:ascii="仿宋_GB2312" w:hAnsi="仿宋_GB2312" w:eastAsia="仿宋_GB2312"/>
          <w:color w:val="000000"/>
          <w:sz w:val="32"/>
          <w:szCs w:val="24"/>
        </w:rPr>
        <w:t>职称资历年限如何计算？</w:t>
      </w:r>
    </w:p>
    <w:p>
      <w:pPr>
        <w:pStyle w:val="2"/>
        <w:widowControl/>
        <w:spacing w:before="0" w:beforeLines="0" w:beforeAutospacing="0" w:after="0" w:afterLines="0" w:afterAutospacing="0" w:line="547" w:lineRule="atLeast"/>
        <w:ind w:firstLine="634"/>
        <w:jc w:val="both"/>
        <w:rPr>
          <w:rFonts w:hint="default" w:ascii="仿宋_GB2312" w:hAnsi="仿宋_GB2312" w:eastAsia="仿宋_GB2312" w:cs="Times New Roman"/>
          <w:color w:val="auto"/>
          <w:kern w:val="2"/>
          <w:sz w:val="32"/>
          <w:szCs w:val="24"/>
          <w:lang w:val="en-US" w:eastAsia="zh-CN" w:bidi="ar-SA"/>
        </w:rPr>
      </w:pPr>
      <w:r>
        <w:rPr>
          <w:rFonts w:hint="default" w:ascii="仿宋_GB2312" w:hAnsi="仿宋_GB2312" w:eastAsia="仿宋_GB2312" w:cs="Times New Roman"/>
          <w:color w:val="auto"/>
          <w:kern w:val="2"/>
          <w:sz w:val="32"/>
          <w:szCs w:val="24"/>
          <w:lang w:val="en-US" w:eastAsia="zh-CN" w:bidi="ar-SA"/>
        </w:rPr>
        <w:t>职称资历年限的计算以职称评审年度为依据，起算时间为本级职称评审年度的下一自然年1月1日，截止时间为高一级职称评审年度的 12月31日，同一年度内评委会开展职称评审的具体时间不影响资历计算。例如，申报人在 2023 年4月通过评审取得2022年度中级职称，申报高级职称评审时，其职称资历年限从2023 年1月1日起算，到 2027年12月31日满 5 年。</w:t>
      </w:r>
    </w:p>
    <w:p>
      <w:pPr>
        <w:pStyle w:val="2"/>
        <w:widowControl/>
        <w:spacing w:before="0" w:beforeLines="0" w:beforeAutospacing="0" w:after="0" w:afterLines="0" w:afterAutospacing="0" w:line="547" w:lineRule="atLeast"/>
        <w:ind w:firstLine="634"/>
        <w:jc w:val="both"/>
        <w:rPr>
          <w:rFonts w:hint="default" w:ascii="仿宋_GB2312" w:hAnsi="仿宋_GB2312" w:eastAsia="仿宋_GB2312" w:cs="Times New Roman"/>
          <w:color w:val="auto"/>
          <w:kern w:val="2"/>
          <w:sz w:val="32"/>
          <w:szCs w:val="24"/>
          <w:lang w:val="en-US" w:eastAsia="zh-CN" w:bidi="ar-SA"/>
        </w:rPr>
      </w:pPr>
      <w:r>
        <w:rPr>
          <w:rFonts w:hint="default" w:ascii="仿宋_GB2312" w:hAnsi="仿宋_GB2312" w:eastAsia="仿宋_GB2312" w:cs="Times New Roman"/>
          <w:color w:val="auto"/>
          <w:kern w:val="2"/>
          <w:sz w:val="32"/>
          <w:szCs w:val="24"/>
          <w:lang w:val="en-US" w:eastAsia="zh-CN" w:bidi="ar-SA"/>
        </w:rPr>
        <w:t>为做好改革的过渡衔接，对于 2020 年度及以前年度通过评审取得职称的专业技术人才，申报评审高一级职称时，职称资历年限的起算时间为本级职称评审年度的1月1日，截止时间为申报高一级职称评审年度的 12月31日。例如，申报人在 2018 年11月通过评审取得 2018年度中级职称，其职称资历年限从 2018年1月1日起算，到 2022 年12月31日满 5 年。又如申报人2019年3月通过评审取得2018年度职称，申报 2022 年度高级职称评审时，其职称资历年限仍可从 2018 年1月1日起算，到 2022 年12月31 日满 5年。</w:t>
      </w:r>
    </w:p>
    <w:p>
      <w:pPr>
        <w:pStyle w:val="2"/>
        <w:widowControl/>
        <w:spacing w:before="0" w:beforeLines="0" w:beforeAutospacing="0" w:after="0" w:afterLines="0" w:afterAutospacing="0" w:line="547" w:lineRule="atLeast"/>
        <w:ind w:firstLine="634"/>
        <w:jc w:val="both"/>
        <w:rPr>
          <w:rFonts w:hint="default" w:ascii="仿宋_GB2312" w:hAnsi="仿宋_GB2312" w:eastAsia="仿宋_GB2312"/>
          <w:color w:val="333333"/>
          <w:sz w:val="32"/>
          <w:szCs w:val="24"/>
        </w:rPr>
      </w:pPr>
      <w:r>
        <w:rPr>
          <w:rStyle w:val="4"/>
          <w:rFonts w:hint="eastAsia" w:ascii="仿宋_GB2312" w:hAnsi="仿宋_GB2312" w:eastAsia="仿宋_GB2312"/>
          <w:color w:val="000000"/>
          <w:sz w:val="32"/>
          <w:szCs w:val="24"/>
          <w:shd w:val="clear" w:color="auto" w:fill="FFFFFF"/>
          <w:lang w:eastAsia="zh-CN"/>
        </w:rPr>
        <w:t>二</w:t>
      </w:r>
      <w:r>
        <w:rPr>
          <w:rStyle w:val="4"/>
          <w:rFonts w:hint="default" w:ascii="仿宋_GB2312" w:hAnsi="仿宋_GB2312" w:eastAsia="仿宋_GB2312"/>
          <w:color w:val="000000"/>
          <w:sz w:val="32"/>
          <w:szCs w:val="24"/>
          <w:shd w:val="clear" w:color="auto" w:fill="FFFFFF"/>
        </w:rPr>
        <w:t>、</w:t>
      </w:r>
      <w:r>
        <w:rPr>
          <w:rStyle w:val="4"/>
          <w:rFonts w:hint="eastAsia" w:ascii="仿宋_GB2312" w:hAnsi="仿宋_GB2312" w:eastAsia="仿宋_GB2312"/>
          <w:color w:val="000000"/>
          <w:sz w:val="32"/>
          <w:szCs w:val="24"/>
          <w:lang w:eastAsia="zh-CN"/>
        </w:rPr>
        <w:t>有效</w:t>
      </w:r>
      <w:r>
        <w:rPr>
          <w:rStyle w:val="4"/>
          <w:rFonts w:hint="default" w:ascii="仿宋_GB2312" w:hAnsi="仿宋_GB2312" w:eastAsia="仿宋_GB2312"/>
          <w:color w:val="000000"/>
          <w:sz w:val="32"/>
          <w:szCs w:val="24"/>
        </w:rPr>
        <w:t>材料时段如何</w:t>
      </w:r>
      <w:r>
        <w:rPr>
          <w:rStyle w:val="4"/>
          <w:rFonts w:hint="eastAsia" w:ascii="仿宋_GB2312" w:hAnsi="仿宋_GB2312" w:eastAsia="仿宋_GB2312"/>
          <w:color w:val="000000"/>
          <w:sz w:val="32"/>
          <w:szCs w:val="24"/>
          <w:lang w:eastAsia="zh-CN"/>
        </w:rPr>
        <w:t>界定</w:t>
      </w:r>
      <w:r>
        <w:rPr>
          <w:rStyle w:val="4"/>
          <w:rFonts w:hint="default" w:ascii="仿宋_GB2312" w:hAnsi="仿宋_GB2312" w:eastAsia="仿宋_GB2312"/>
          <w:color w:val="000000"/>
          <w:sz w:val="32"/>
          <w:szCs w:val="24"/>
        </w:rPr>
        <w:t>？</w:t>
      </w:r>
    </w:p>
    <w:p>
      <w:pPr>
        <w:pStyle w:val="2"/>
        <w:widowControl/>
        <w:spacing w:before="0" w:beforeLines="0" w:beforeAutospacing="0" w:after="0" w:afterLines="0" w:afterAutospacing="0" w:line="547" w:lineRule="atLeast"/>
        <w:ind w:firstLine="634"/>
        <w:jc w:val="both"/>
        <w:rPr>
          <w:rFonts w:hint="default" w:ascii="仿宋_GB2312" w:hAnsi="仿宋_GB2312" w:eastAsia="仿宋_GB2312" w:cs="Times New Roman"/>
          <w:color w:val="auto"/>
          <w:kern w:val="2"/>
          <w:sz w:val="32"/>
          <w:szCs w:val="24"/>
          <w:lang w:val="en-US" w:eastAsia="zh-CN" w:bidi="ar-SA"/>
        </w:rPr>
      </w:pPr>
      <w:r>
        <w:rPr>
          <w:rFonts w:hint="default" w:ascii="仿宋_GB2312" w:hAnsi="仿宋_GB2312" w:eastAsia="仿宋_GB2312" w:cs="Times New Roman"/>
          <w:color w:val="auto"/>
          <w:kern w:val="2"/>
          <w:sz w:val="32"/>
          <w:szCs w:val="24"/>
          <w:lang w:val="en-US" w:eastAsia="zh-CN" w:bidi="ar-SA"/>
        </w:rPr>
        <w:t>对于 2021年度及此后年度评审通过的人员，申报高一级职称时有效材料的起算时间为本级职称评审年度的下一自然年1 月1日，截止时间为高一级职称评审年度的 12月31日。例如，申报人在 2023年3月通过 2022年度职称评审取得中级职称，在申报副高级职称时，有效材料时段自 2023年1月1日起算，至副高级职称评审年度的12月31日止。</w:t>
      </w:r>
    </w:p>
    <w:p>
      <w:pPr>
        <w:pStyle w:val="2"/>
        <w:widowControl/>
        <w:spacing w:before="0" w:beforeLines="0" w:beforeAutospacing="0" w:after="0" w:afterLines="0" w:afterAutospacing="0" w:line="547" w:lineRule="atLeast"/>
        <w:ind w:firstLine="634"/>
        <w:jc w:val="both"/>
        <w:rPr>
          <w:rFonts w:hint="default" w:ascii="仿宋_GB2312" w:hAnsi="仿宋_GB2312" w:eastAsia="仿宋_GB2312" w:cs="Times New Roman"/>
          <w:color w:val="auto"/>
          <w:kern w:val="2"/>
          <w:sz w:val="32"/>
          <w:szCs w:val="24"/>
          <w:lang w:val="en-US" w:eastAsia="zh-CN" w:bidi="ar-SA"/>
        </w:rPr>
      </w:pPr>
      <w:r>
        <w:rPr>
          <w:rFonts w:hint="default" w:ascii="仿宋_GB2312" w:hAnsi="仿宋_GB2312" w:eastAsia="仿宋_GB2312" w:cs="Times New Roman"/>
          <w:color w:val="auto"/>
          <w:kern w:val="2"/>
          <w:sz w:val="32"/>
          <w:szCs w:val="24"/>
          <w:lang w:val="en-US" w:eastAsia="zh-CN" w:bidi="ar-SA"/>
        </w:rPr>
        <w:t>对于 2021年度</w:t>
      </w:r>
      <w:r>
        <w:rPr>
          <w:rFonts w:hint="eastAsia" w:ascii="仿宋_GB2312" w:hAnsi="仿宋_GB2312" w:eastAsia="仿宋_GB2312" w:cs="Times New Roman"/>
          <w:color w:val="auto"/>
          <w:kern w:val="2"/>
          <w:sz w:val="32"/>
          <w:szCs w:val="24"/>
          <w:lang w:val="en-US" w:eastAsia="zh-CN" w:bidi="ar-SA"/>
        </w:rPr>
        <w:t>以前取得职称</w:t>
      </w:r>
      <w:r>
        <w:rPr>
          <w:rFonts w:hint="default" w:ascii="仿宋_GB2312" w:hAnsi="仿宋_GB2312" w:eastAsia="仿宋_GB2312" w:cs="Times New Roman"/>
          <w:color w:val="auto"/>
          <w:kern w:val="2"/>
          <w:sz w:val="32"/>
          <w:szCs w:val="24"/>
          <w:lang w:val="en-US" w:eastAsia="zh-CN" w:bidi="ar-SA"/>
        </w:rPr>
        <w:t>的人员，鉴于有效材料时段均截止到评审年度的8月31日，为做好衔接过渡，申报高一级职称时有效材料时段从本级职称评审年度的9 月1日起算，至高一级职称评审年度的12月31日止。例如，申报人在 2017年11月通过2017年度职称评审取得中级职称，申报副高级职称时，有效材料时段自2017年9月1日起算，至高一级职称评审年度的12月31日止。同等条件下，如申报人中级职称是2018年3月通过2017年度职称评审取得的，其有效材料时段仍从2017年9月1日起算，至高一级职称评审年度的12月31日止。</w:t>
      </w:r>
    </w:p>
    <w:p>
      <w:pPr>
        <w:pStyle w:val="2"/>
        <w:widowControl/>
        <w:shd w:val="clear" w:color="auto" w:fill="FFFFFF"/>
        <w:spacing w:before="0" w:beforeLines="0" w:beforeAutospacing="0" w:after="0" w:afterLines="0" w:afterAutospacing="0" w:line="547" w:lineRule="atLeast"/>
        <w:ind w:firstLine="634"/>
        <w:jc w:val="both"/>
        <w:rPr>
          <w:rFonts w:hint="default" w:ascii="仿宋_GB2312" w:hAnsi="仿宋_GB2312" w:eastAsia="仿宋_GB2312"/>
          <w:color w:val="333333"/>
          <w:sz w:val="32"/>
          <w:szCs w:val="24"/>
        </w:rPr>
      </w:pPr>
      <w:r>
        <w:rPr>
          <w:rStyle w:val="4"/>
          <w:rFonts w:hint="eastAsia" w:ascii="仿宋_GB2312" w:hAnsi="仿宋_GB2312" w:eastAsia="仿宋_GB2312"/>
          <w:color w:val="333333"/>
          <w:sz w:val="32"/>
          <w:szCs w:val="24"/>
          <w:shd w:val="clear" w:color="auto" w:fill="FFFFFF"/>
          <w:lang w:eastAsia="zh-CN"/>
        </w:rPr>
        <w:t>三</w:t>
      </w:r>
      <w:r>
        <w:rPr>
          <w:rStyle w:val="4"/>
          <w:rFonts w:hint="default" w:ascii="仿宋_GB2312" w:hAnsi="仿宋_GB2312" w:eastAsia="仿宋_GB2312"/>
          <w:color w:val="333333"/>
          <w:sz w:val="32"/>
          <w:szCs w:val="24"/>
          <w:shd w:val="clear" w:color="auto" w:fill="FFFFFF"/>
        </w:rPr>
        <w:t>、革命老区、中央苏区和民族地区如何界定？</w:t>
      </w:r>
    </w:p>
    <w:p>
      <w:pPr>
        <w:pStyle w:val="2"/>
        <w:widowControl/>
        <w:spacing w:before="0" w:beforeLines="0" w:beforeAutospacing="0" w:after="0" w:afterLines="0" w:afterAutospacing="0" w:line="547" w:lineRule="atLeast"/>
        <w:ind w:firstLine="634"/>
        <w:jc w:val="both"/>
        <w:rPr>
          <w:rFonts w:hint="default" w:ascii="仿宋_GB2312" w:hAnsi="仿宋_GB2312" w:eastAsia="仿宋_GB2312" w:cs="Times New Roman"/>
          <w:color w:val="auto"/>
          <w:kern w:val="2"/>
          <w:sz w:val="32"/>
          <w:szCs w:val="24"/>
          <w:lang w:val="en-US" w:eastAsia="zh-CN" w:bidi="ar-SA"/>
        </w:rPr>
      </w:pPr>
      <w:r>
        <w:rPr>
          <w:rFonts w:hint="default" w:ascii="仿宋_GB2312" w:hAnsi="仿宋_GB2312" w:eastAsia="仿宋_GB2312" w:cs="Times New Roman"/>
          <w:color w:val="auto"/>
          <w:kern w:val="2"/>
          <w:sz w:val="32"/>
          <w:szCs w:val="24"/>
          <w:lang w:val="en-US" w:eastAsia="zh-CN" w:bidi="ar-SA"/>
        </w:rPr>
        <w:t>根据《广东省促进革命老区发展条例》，革命老区是指土地革命战争、抗日战争和解放战争时期在中国共产党领导下建立和发展起来的革命根据地，其中土地革命战争时期建立的中央革命根据地为原中央苏区。本省革命老区名录由省人民政府确定并公布。根据《广东省促进民族地区发展条例》，民族地区是指连南瑶族自治县、连山壮族瑶族自治县、乳源瑶族自治县，始兴县深渡水瑶族乡、东源县漳溪畲族乡、龙门县蓝天瑶族乡、怀集县下帅壮族瑶族乡、连州市瑶安瑶族乡和三水瑶族乡、阳山县秤架瑶族乡。</w:t>
      </w:r>
    </w:p>
    <w:p>
      <w:pPr>
        <w:pStyle w:val="2"/>
        <w:widowControl/>
        <w:shd w:val="clear" w:color="auto" w:fill="FFFFFF"/>
        <w:spacing w:before="0" w:beforeLines="0" w:beforeAutospacing="0" w:after="0" w:afterLines="0" w:afterAutospacing="0" w:line="547" w:lineRule="atLeast"/>
        <w:ind w:firstLine="634"/>
        <w:jc w:val="both"/>
        <w:rPr>
          <w:rFonts w:hint="default" w:ascii="仿宋_GB2312" w:hAnsi="仿宋_GB2312" w:eastAsia="仿宋_GB2312"/>
          <w:color w:val="333333"/>
          <w:sz w:val="32"/>
          <w:szCs w:val="24"/>
        </w:rPr>
      </w:pPr>
      <w:r>
        <w:rPr>
          <w:rStyle w:val="4"/>
          <w:rFonts w:hint="eastAsia" w:ascii="仿宋_GB2312" w:hAnsi="仿宋_GB2312" w:eastAsia="仿宋_GB2312"/>
          <w:color w:val="333333"/>
          <w:spacing w:val="-6"/>
          <w:sz w:val="32"/>
          <w:szCs w:val="24"/>
          <w:shd w:val="clear" w:color="auto" w:fill="FFFFFF"/>
          <w:lang w:eastAsia="zh-CN"/>
        </w:rPr>
        <w:t>四</w:t>
      </w:r>
      <w:r>
        <w:rPr>
          <w:rStyle w:val="4"/>
          <w:rFonts w:hint="default" w:ascii="仿宋_GB2312" w:hAnsi="仿宋_GB2312" w:eastAsia="仿宋_GB2312"/>
          <w:color w:val="333333"/>
          <w:spacing w:val="-6"/>
          <w:sz w:val="32"/>
          <w:szCs w:val="24"/>
          <w:shd w:val="clear" w:color="auto" w:fill="FFFFFF"/>
        </w:rPr>
        <w:t>、在我省工作的外籍和港澳台专业技术人才如何申报职称</w:t>
      </w:r>
      <w:r>
        <w:rPr>
          <w:rStyle w:val="4"/>
          <w:rFonts w:hint="default" w:ascii="仿宋_GB2312" w:hAnsi="仿宋_GB2312" w:eastAsia="仿宋_GB2312"/>
          <w:color w:val="333333"/>
          <w:sz w:val="32"/>
          <w:szCs w:val="24"/>
          <w:shd w:val="clear" w:color="auto" w:fill="FFFFFF"/>
        </w:rPr>
        <w:t>？</w:t>
      </w:r>
    </w:p>
    <w:p>
      <w:pPr>
        <w:pStyle w:val="2"/>
        <w:widowControl/>
        <w:spacing w:before="0" w:beforeLines="0" w:beforeAutospacing="0" w:after="0" w:afterLines="0" w:afterAutospacing="0" w:line="547" w:lineRule="atLeast"/>
        <w:ind w:firstLine="634"/>
        <w:jc w:val="both"/>
        <w:rPr>
          <w:rFonts w:hint="default" w:ascii="仿宋_GB2312" w:hAnsi="仿宋_GB2312" w:eastAsia="仿宋_GB2312" w:cs="Times New Roman"/>
          <w:color w:val="auto"/>
          <w:kern w:val="2"/>
          <w:sz w:val="32"/>
          <w:szCs w:val="24"/>
          <w:lang w:val="en-US" w:eastAsia="zh-CN" w:bidi="ar-SA"/>
        </w:rPr>
      </w:pPr>
      <w:r>
        <w:rPr>
          <w:rFonts w:hint="default" w:ascii="仿宋_GB2312" w:hAnsi="仿宋_GB2312" w:eastAsia="仿宋_GB2312" w:cs="Times New Roman"/>
          <w:color w:val="auto"/>
          <w:kern w:val="2"/>
          <w:sz w:val="32"/>
          <w:szCs w:val="24"/>
          <w:lang w:val="en-US" w:eastAsia="zh-CN" w:bidi="ar-SA"/>
        </w:rPr>
        <w:t>在我省工作的外籍和港澳台专业技术人才，可按自愿原则申报评审我省各系列、各专业职称。申报评审职称时，实行的职称评审标准条件、评审程序、评审办法等与省内专业技术人才一致。其中，对于在粤港澳大湾区内地九市工作的港澳台专业人才，以及引进到粤东西北地区或基层一线企事业单位担任技术骨干的外籍或港澳台专业人才，从事本专业对口专业技术工作满一定年限后，可根据粤人社规〔2019〕38号文有关规定直接申报副高级或正高级职称。</w:t>
      </w:r>
    </w:p>
    <w:p>
      <w:pPr>
        <w:pStyle w:val="2"/>
        <w:widowControl/>
        <w:shd w:val="clear" w:color="auto" w:fill="FFFFFF"/>
        <w:spacing w:before="0" w:beforeLines="0" w:beforeAutospacing="0" w:after="0" w:afterLines="0" w:afterAutospacing="0" w:line="547" w:lineRule="atLeast"/>
        <w:ind w:firstLine="634"/>
        <w:jc w:val="both"/>
        <w:rPr>
          <w:rFonts w:hint="default" w:ascii="仿宋_GB2312" w:hAnsi="仿宋_GB2312" w:eastAsia="仿宋_GB2312"/>
          <w:color w:val="333333"/>
          <w:sz w:val="32"/>
          <w:szCs w:val="24"/>
        </w:rPr>
      </w:pPr>
      <w:r>
        <w:rPr>
          <w:rStyle w:val="4"/>
          <w:rFonts w:hint="eastAsia" w:ascii="仿宋_GB2312" w:hAnsi="仿宋_GB2312" w:eastAsia="仿宋_GB2312"/>
          <w:color w:val="333333"/>
          <w:sz w:val="32"/>
          <w:szCs w:val="24"/>
          <w:shd w:val="clear" w:color="auto" w:fill="FFFFFF"/>
          <w:lang w:eastAsia="zh-CN"/>
        </w:rPr>
        <w:t>五</w:t>
      </w:r>
      <w:r>
        <w:rPr>
          <w:rStyle w:val="4"/>
          <w:rFonts w:hint="default" w:ascii="仿宋_GB2312" w:hAnsi="仿宋_GB2312" w:eastAsia="仿宋_GB2312"/>
          <w:color w:val="333333"/>
          <w:sz w:val="32"/>
          <w:szCs w:val="24"/>
          <w:shd w:val="clear" w:color="auto" w:fill="FFFFFF"/>
        </w:rPr>
        <w:t>、外省、中央单位流动至我省的专业技术人才，申报我省职称时原职称是否需要确认？</w:t>
      </w:r>
    </w:p>
    <w:p>
      <w:pPr>
        <w:pStyle w:val="2"/>
        <w:widowControl/>
        <w:spacing w:before="0" w:beforeLines="0" w:beforeAutospacing="0" w:after="0" w:afterLines="0" w:afterAutospacing="0" w:line="547" w:lineRule="atLeast"/>
        <w:ind w:firstLine="634"/>
        <w:jc w:val="both"/>
        <w:rPr>
          <w:rFonts w:hint="default" w:ascii="仿宋_GB2312" w:hAnsi="仿宋_GB2312" w:eastAsia="仿宋_GB2312" w:cs="Times New Roman"/>
          <w:color w:val="auto"/>
          <w:kern w:val="2"/>
          <w:sz w:val="32"/>
          <w:szCs w:val="24"/>
          <w:lang w:val="en-US" w:eastAsia="zh-CN" w:bidi="ar-SA"/>
        </w:rPr>
      </w:pPr>
      <w:r>
        <w:rPr>
          <w:rFonts w:hint="default" w:ascii="仿宋_GB2312" w:hAnsi="仿宋_GB2312" w:eastAsia="仿宋_GB2312" w:cs="Times New Roman"/>
          <w:color w:val="auto"/>
          <w:kern w:val="2"/>
          <w:sz w:val="32"/>
          <w:szCs w:val="24"/>
          <w:lang w:val="en-US" w:eastAsia="zh-CN" w:bidi="ar-SA"/>
        </w:rPr>
        <w:t>《职称评审管理暂行规定》（人社部令第40号）规定，“专业技术人才跨区域、跨单位流动时，其职称按照职称评审管理权限重新评审或者确认，国家另有规定的除外”。跨区域、跨单位流动专业技术人才职称重新评审和确认工作，是对于专业技术人才在进入我省用人单位前在原区域、原单位合规取得的职称，按程序进行重新评审或确认的一项职称服务。根据《广东省跨区域跨单位流动专业技术人才职称重新评审和确认规定》，跨区域、跨单位流动专业技术人才可根据需要自行选择申报职称重新评审或确认，原职称经重新评审或确认后方可在我省申报评审职称。</w:t>
      </w:r>
    </w:p>
    <w:p>
      <w:pPr>
        <w:pStyle w:val="2"/>
        <w:widowControl/>
        <w:shd w:val="clear" w:color="auto" w:fill="FFFFFF"/>
        <w:spacing w:before="0" w:beforeLines="0" w:beforeAutospacing="0" w:after="0" w:afterLines="0" w:afterAutospacing="0" w:line="547" w:lineRule="atLeast"/>
        <w:ind w:firstLine="634"/>
        <w:jc w:val="both"/>
        <w:rPr>
          <w:rFonts w:hint="default" w:ascii="仿宋_GB2312" w:hAnsi="仿宋_GB2312" w:eastAsia="仿宋_GB2312"/>
          <w:color w:val="333333"/>
          <w:sz w:val="32"/>
          <w:szCs w:val="24"/>
        </w:rPr>
      </w:pPr>
      <w:r>
        <w:rPr>
          <w:rStyle w:val="4"/>
          <w:rFonts w:hint="eastAsia" w:ascii="仿宋_GB2312" w:hAnsi="仿宋_GB2312" w:eastAsia="仿宋_GB2312"/>
          <w:color w:val="333333"/>
          <w:sz w:val="32"/>
          <w:szCs w:val="24"/>
          <w:shd w:val="clear" w:color="auto" w:fill="FFFFFF"/>
          <w:lang w:eastAsia="zh-CN"/>
        </w:rPr>
        <w:t>六</w:t>
      </w:r>
      <w:r>
        <w:rPr>
          <w:rStyle w:val="4"/>
          <w:rFonts w:hint="default" w:ascii="仿宋_GB2312" w:hAnsi="仿宋_GB2312" w:eastAsia="仿宋_GB2312"/>
          <w:color w:val="333333"/>
          <w:sz w:val="32"/>
          <w:szCs w:val="24"/>
          <w:shd w:val="clear" w:color="auto" w:fill="FFFFFF"/>
        </w:rPr>
        <w:t>、跨区域、跨单位流动专业技术人才职称重新评审和确认如何办理？</w:t>
      </w:r>
    </w:p>
    <w:p>
      <w:pPr>
        <w:pStyle w:val="2"/>
        <w:widowControl/>
        <w:spacing w:before="0" w:beforeLines="0" w:beforeAutospacing="0" w:after="0" w:afterLines="0" w:afterAutospacing="0" w:line="547" w:lineRule="atLeast"/>
        <w:ind w:firstLine="634"/>
        <w:jc w:val="both"/>
        <w:rPr>
          <w:rFonts w:hint="default" w:ascii="仿宋_GB2312" w:hAnsi="仿宋_GB2312" w:eastAsia="仿宋_GB2312" w:cs="Times New Roman"/>
          <w:color w:val="auto"/>
          <w:kern w:val="2"/>
          <w:sz w:val="32"/>
          <w:szCs w:val="24"/>
          <w:lang w:val="en-US" w:eastAsia="zh-CN" w:bidi="ar-SA"/>
        </w:rPr>
      </w:pPr>
      <w:r>
        <w:rPr>
          <w:rFonts w:hint="default" w:ascii="仿宋_GB2312" w:hAnsi="仿宋_GB2312" w:eastAsia="仿宋_GB2312" w:cs="Times New Roman"/>
          <w:color w:val="auto"/>
          <w:kern w:val="2"/>
          <w:sz w:val="32"/>
          <w:szCs w:val="24"/>
          <w:lang w:val="en-US" w:eastAsia="zh-CN" w:bidi="ar-SA"/>
        </w:rPr>
        <w:t>跨区域、跨单位流动专业技术人才职称重新评审工作的申报程序、申报材料与我省常规职称评审相同，结合我省每年度常规职称评审工作同步开展。对于重新评审通过人员，发放我省职称证书。</w:t>
      </w:r>
    </w:p>
    <w:p>
      <w:pPr>
        <w:pStyle w:val="2"/>
        <w:widowControl/>
        <w:spacing w:before="0" w:beforeLines="0" w:beforeAutospacing="0" w:after="0" w:afterLines="0" w:afterAutospacing="0" w:line="547" w:lineRule="atLeast"/>
        <w:ind w:firstLine="634"/>
        <w:jc w:val="both"/>
        <w:rPr>
          <w:rFonts w:hint="default" w:ascii="仿宋_GB2312" w:hAnsi="仿宋_GB2312" w:eastAsia="仿宋_GB2312" w:cs="Times New Roman"/>
          <w:color w:val="auto"/>
          <w:kern w:val="2"/>
          <w:sz w:val="32"/>
          <w:szCs w:val="24"/>
          <w:lang w:val="en-US" w:eastAsia="zh-CN" w:bidi="ar-SA"/>
        </w:rPr>
      </w:pPr>
      <w:r>
        <w:rPr>
          <w:rFonts w:hint="default" w:ascii="仿宋_GB2312" w:hAnsi="仿宋_GB2312" w:eastAsia="仿宋_GB2312" w:cs="Times New Roman"/>
          <w:color w:val="auto"/>
          <w:kern w:val="2"/>
          <w:sz w:val="32"/>
          <w:szCs w:val="24"/>
          <w:lang w:val="en-US" w:eastAsia="zh-CN" w:bidi="ar-SA"/>
        </w:rPr>
        <w:t>跨区域、跨单位流动专业技术人才职称确认工作是职称评审委员会办公室受理审核的重要环节。对于确认通过人员，由相应评审委员会办公室出具确认意见，确认意见仅用于在我省申报评审职称。除申报评审职称外，各级职称评审委员会办公室不单独受理确认申请。</w:t>
      </w:r>
    </w:p>
    <w:p>
      <w:pPr>
        <w:spacing w:beforeLines="0" w:afterLines="0"/>
        <w:rPr>
          <w:rFonts w:hint="default" w:ascii="仿宋_GB2312" w:hAnsi="仿宋_GB2312" w:eastAsia="仿宋_GB2312"/>
          <w:sz w:val="32"/>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547BA3"/>
    <w:rsid w:val="5E547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Lines="0" w:beforeAutospacing="1" w:after="100" w:afterLines="0" w:afterAutospacing="1"/>
      <w:jc w:val="left"/>
    </w:pPr>
    <w:rPr>
      <w:rFonts w:hint="default"/>
      <w:kern w:val="0"/>
      <w:sz w:val="24"/>
      <w:szCs w:val="24"/>
    </w:rPr>
  </w:style>
  <w:style w:type="character" w:styleId="4">
    <w:name w:val="Strong"/>
    <w:basedOn w:val="3"/>
    <w:qFormat/>
    <w:uiPriority w:val="0"/>
    <w:rPr>
      <w:rFonts w:hint="default"/>
      <w:b/>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省作家协会</Company>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2024-01-19T01:41:00Z</dcterms:created>
  <dc:creator>cai</dc:creator>
  <cp:lastModifiedBy>cai</cp:lastModifiedBy>
  <dcterms:modified xsi:type="dcterms:W3CDTF">2024-01-19T01:42:17Z</dcterms:modified>
  <dc:title>附件3</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